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5INTRO"/>
        <w:spacing w:lineRule="auto" w:line="240"/>
        <w:ind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Ц</w:t>
      </w:r>
      <w:r>
        <w:rPr>
          <w:rFonts w:cs="Times New Roman" w:ascii="Times New Roman" w:hAnsi="Times New Roman"/>
          <w:b/>
          <w:sz w:val="24"/>
          <w:szCs w:val="24"/>
        </w:rPr>
        <w:t>иклограммы ВСОКО детского сада на 2021-</w:t>
      </w:r>
      <w:r>
        <w:rPr>
          <w:rFonts w:cs="Times New Roman" w:ascii="Times New Roman" w:hAnsi="Times New Roman"/>
          <w:b/>
          <w:sz w:val="24"/>
          <w:szCs w:val="24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>22 учебный год</w:t>
      </w:r>
    </w:p>
    <w:p>
      <w:pPr>
        <w:pStyle w:val="05INTRO"/>
        <w:spacing w:lineRule="auto" w:line="240"/>
        <w:ind w:righ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учетом реализации новой рабочей программы воспитания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tbl>
      <w:tblPr>
        <w:tblW w:w="15026" w:type="dxa"/>
        <w:jc w:val="left"/>
        <w:tblInd w:w="1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5" w:type="dxa"/>
          <w:left w:w="62" w:type="dxa"/>
          <w:bottom w:w="85" w:type="dxa"/>
          <w:right w:w="65" w:type="dxa"/>
        </w:tblCellMar>
        <w:tblLook w:val="0000"/>
      </w:tblPr>
      <w:tblGrid>
        <w:gridCol w:w="2106"/>
        <w:gridCol w:w="3420"/>
        <w:gridCol w:w="2125"/>
        <w:gridCol w:w="1559"/>
        <w:gridCol w:w="1990"/>
        <w:gridCol w:w="1857"/>
        <w:gridCol w:w="1968"/>
      </w:tblGrid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Объект ВСОКО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Показатель, который</w:t>
            </w:r>
          </w:p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характеризует</w:t>
            </w:r>
          </w:p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объект ВСОКО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Методы и средства сбора первичных данных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Представление данных</w:t>
            </w:r>
          </w:p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(периодичность, сроки)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Лица, которые проводят оценку качества образования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hroom"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Ответственные должностные лица</w:t>
            </w:r>
          </w:p>
        </w:tc>
      </w:tr>
      <w:tr>
        <w:trPr>
          <w:trHeight w:val="60" w:hRule="atLeast"/>
        </w:trPr>
        <w:tc>
          <w:tcPr>
            <w:tcW w:w="1502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ld"/>
                <w:rFonts w:cs="Times New Roman" w:ascii="Times New Roman" w:hAnsi="Times New Roman"/>
                <w:sz w:val="22"/>
                <w:szCs w:val="22"/>
              </w:rPr>
              <w:t>1. Качество содержания и организации образовательной деятельности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ООП ДО</w:t>
            </w:r>
          </w:p>
          <w:p>
            <w:pPr>
              <w:pStyle w:val="06SHEMAtxt"/>
              <w:spacing w:lineRule="auto" w:line="240"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Анализ программы, экспертная оценка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АООП ДО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Рабочая программа воспитания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Анализ программы,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экспертная оценка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раз в год, август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раз в год, август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Дополнительные общеразвивающие </w:t>
              <w:br/>
              <w:t>программы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Соответствие тре</w:t>
              <w:softHyphen/>
              <w:t>бованиямфедерального законодательства в части допобразования, запросам родителей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Анализ программ, экспертная оценка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26" w:type="dxa"/>
        <w:jc w:val="left"/>
        <w:tblInd w:w="1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5" w:type="dxa"/>
          <w:left w:w="62" w:type="dxa"/>
          <w:bottom w:w="85" w:type="dxa"/>
          <w:right w:w="65" w:type="dxa"/>
        </w:tblCellMar>
        <w:tblLook w:val="0000"/>
      </w:tblPr>
      <w:tblGrid>
        <w:gridCol w:w="2106"/>
        <w:gridCol w:w="20"/>
        <w:gridCol w:w="3400"/>
        <w:gridCol w:w="2125"/>
        <w:gridCol w:w="1559"/>
        <w:gridCol w:w="1990"/>
        <w:gridCol w:w="1558"/>
        <w:gridCol w:w="284"/>
        <w:gridCol w:w="15"/>
        <w:gridCol w:w="1968"/>
      </w:tblGrid>
      <w:tr>
        <w:trPr>
          <w:trHeight w:val="60" w:hRule="atLeast"/>
        </w:trPr>
        <w:tc>
          <w:tcPr>
            <w:tcW w:w="21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Образовательный процесс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Образовательный процесс, который организует взрослый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4 раза в год </w:t>
            </w:r>
          </w:p>
        </w:tc>
        <w:tc>
          <w:tcPr>
            <w:tcW w:w="18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1415" w:hRule="atLeast"/>
        </w:trPr>
        <w:tc>
          <w:tcPr>
            <w:tcW w:w="21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Style21"/>
              <w:spacing w:lineRule="auto" w:line="24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Самостоятельная детская деятельность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Наблюдение, анализ детской деятельности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 раза в год: сентябрь, январь, май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1 раз в год, май </w:t>
            </w:r>
          </w:p>
        </w:tc>
        <w:tc>
          <w:tcPr>
            <w:tcW w:w="18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2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Взаимодействие участников образовательных отношений, в том числе по вопросам воспитания 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Взаимодействие сотрудников </w:t>
            </w:r>
          </w:p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 детьми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 раза в год</w:t>
            </w:r>
          </w:p>
        </w:tc>
        <w:tc>
          <w:tcPr>
            <w:tcW w:w="18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Взаимодействие с родителями воспитанников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плану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4 раза в год </w:t>
            </w:r>
          </w:p>
        </w:tc>
        <w:tc>
          <w:tcPr>
            <w:tcW w:w="18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Взаимодействие с социумом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мере проведения совместных мероприятий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1 раз в год </w:t>
            </w:r>
          </w:p>
        </w:tc>
        <w:tc>
          <w:tcPr>
            <w:tcW w:w="18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1502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2. Качество условий, которые обеспечивают образовательную деятельность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Финансовые условия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Расходы на оплату труда работников, которые реализуют ООП ДО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0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расходы на обеспечение реализации ООП ДО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spacing w:val="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Материально-технические условия 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Соответствие СанПиН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раз в год либо при выявлении нарушений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Заместитель заведующего,  заместитель заведующего по АХЧ, медсестра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Заведующий, </w:t>
              <w:br/>
              <w:t>медсестра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Соответствие правилам пожарной безопасности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 раза в год либо при выявлении нарушений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0"/>
              </w:rPr>
              <w:t>Заместитель заведующего по АХР, зав</w:t>
              <w:softHyphen/>
              <w:t xml:space="preserve">хоз, 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Заведующий, заместитель заведующего по АХР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Контроль, анализ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 раза в год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Контроль, анализ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4 раза в год 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Психолого-педагогические условия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tabs>
                <w:tab w:val="left" w:pos="284" w:leader="none"/>
              </w:tabs>
              <w:ind w:left="0" w:hanging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О</w:t>
            </w:r>
            <w:r>
              <w:rPr>
                <w:rFonts w:cs="Times New Roman" w:ascii="Times New Roman" w:hAnsi="Times New Roman"/>
                <w:bCs/>
                <w:lang w:eastAsia="ar-SA"/>
              </w:rPr>
              <w:t xml:space="preserve">сновные </w:t>
            </w:r>
          </w:p>
          <w:p>
            <w:pPr>
              <w:pStyle w:val="ListParagraph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  <w:t>психолого-педагогические условия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Style22"/>
              <w:spacing w:lineRule="auto" w:line="240"/>
              <w:ind w:hanging="0"/>
              <w:jc w:val="left"/>
              <w:rPr>
                <w:rFonts w:ascii="Times New Roman" w:hAnsi="Times New Roman" w:cs="Times New Roman"/>
                <w:color w:val="00000A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pacing w:val="0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плану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раз в год, май.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 окончании контроля;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tabs>
                <w:tab w:val="left" w:pos="284" w:leader="none"/>
              </w:tabs>
              <w:ind w:left="0" w:hanging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Д</w:t>
            </w:r>
            <w:r>
              <w:rPr>
                <w:rFonts w:cs="Times New Roman" w:ascii="Times New Roman" w:hAnsi="Times New Roman"/>
                <w:bCs/>
                <w:lang w:eastAsia="ar-SA"/>
              </w:rPr>
              <w:t xml:space="preserve">ополнительные психолого-педагогические </w:t>
            </w:r>
          </w:p>
          <w:p>
            <w:pPr>
              <w:pStyle w:val="ListParagraph"/>
              <w:tabs>
                <w:tab w:val="left" w:pos="284" w:leader="none"/>
              </w:tabs>
              <w:ind w:left="0" w:hanging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Cs/>
                <w:lang w:eastAsia="ar-SA"/>
              </w:rPr>
              <w:t>условия для детей с ОВЗ</w:t>
            </w:r>
          </w:p>
          <w:p>
            <w:pPr>
              <w:pStyle w:val="ListParagraph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Style22"/>
              <w:spacing w:lineRule="auto" w:line="240" w:before="0" w:after="0"/>
              <w:ind w:hanging="0"/>
              <w:contextualSpacing/>
              <w:jc w:val="left"/>
              <w:rPr>
                <w:rFonts w:ascii="Times New Roman" w:hAnsi="Times New Roman" w:cs="Times New Roman"/>
                <w:color w:val="00000A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pacing w:val="0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плану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раз в год, май.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 окончании контроля;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Кадровые условия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Укомплектованность педагогическими кадрами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Образовательный ценз педагогических кадров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Уровень квалификации педагогических кадров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Компетентность педагогических кадров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Самоанализ,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плану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Профессиональные достижения педагогических кадров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Соответствие: ООП, в том числе программе воспитания; 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Контроль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плану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1 раз в год, май 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1502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BD4B4" w:themeFill="accent6" w:themeFillTint="66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3. Качество результатов образовательной деятельности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Освоение детьми содержания ООП, АООП, рабочих программ воспитания, дополнительных общеразвивающих программ 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 раза в год, сентябрь – май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 окончании мониторинга. Сравнительный анализ 1 раз в год, май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</w:rPr>
              <w:t>Достижения воспитанников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 достижений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Анализ достижений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lang w:eastAsia="ar-SA"/>
              </w:rPr>
              <w:t>Здоровье воспитанников (динамика)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посещаемости воспитанниками ДОО – в среднем за год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Анализ посещаемости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Медсестра,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воспитатели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медсестра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Средний показатель пропущенных по болезни дней при посещении ДОО на одного воспитаниика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Анализ заболеваемости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Медсестра,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воспитатели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медсестра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 /анализ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Ежедневно / ежемесячно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Медсестра,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воспитатели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медсестра</w:t>
            </w:r>
          </w:p>
        </w:tc>
      </w:tr>
      <w:tr>
        <w:trPr>
          <w:trHeight w:val="60" w:hRule="atLeast"/>
        </w:trPr>
        <w:tc>
          <w:tcPr>
            <w:tcW w:w="210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284" w:leader="none"/>
                <w:tab w:val="left" w:pos="455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информации,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раза в год, август, май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Медсестра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медсестра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ListParagraph"/>
              <w:widowControl w:val="false"/>
              <w:tabs>
                <w:tab w:val="left" w:pos="455" w:leader="none"/>
              </w:tabs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lang w:eastAsia="ar-SA"/>
              </w:rPr>
            </w:pPr>
            <w:r>
              <w:rPr>
                <w:rFonts w:cs="Times New Roman" w:ascii="Times New Roman" w:hAnsi="Times New Roman"/>
                <w:b/>
                <w:lang w:eastAsia="ar-SA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Анкетирование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раз в год - май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 окончании анкетирования 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  <w:tc>
          <w:tcPr>
            <w:tcW w:w="2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71" w:type="dxa"/>
              <w:left w:w="62" w:type="dxa"/>
              <w:bottom w:w="77" w:type="dxa"/>
            </w:tcMar>
          </w:tcPr>
          <w:p>
            <w:pPr>
              <w:pStyle w:val="17TABLtxt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Заведующий, заместитель заведующего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nion Pro">
    <w:charset w:val="cc"/>
    <w:family w:val="roman"/>
    <w:pitch w:val="variable"/>
  </w:font>
  <w:font w:name="Montserrat">
    <w:charset w:val="cc"/>
    <w:family w:val="roman"/>
    <w:pitch w:val="variable"/>
  </w:font>
  <w:font w:name="TimesNRCyrMT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0a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e3163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Bold" w:customStyle="1">
    <w:name w:val="Bold"/>
    <w:uiPriority w:val="99"/>
    <w:qFormat/>
    <w:rsid w:val="00490aea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Заглавие"/>
    <w:basedOn w:val="Normal"/>
    <w:link w:val="a4"/>
    <w:uiPriority w:val="10"/>
    <w:qFormat/>
    <w:rsid w:val="00e3163d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e3163d"/>
    <w:pPr>
      <w:spacing w:before="0" w:after="200"/>
      <w:ind w:left="720" w:hanging="0"/>
      <w:contextualSpacing/>
    </w:pPr>
    <w:rPr/>
  </w:style>
  <w:style w:type="paragraph" w:styleId="05INTRO" w:customStyle="1">
    <w:name w:val="05INTRO"/>
    <w:basedOn w:val="Normal"/>
    <w:uiPriority w:val="99"/>
    <w:qFormat/>
    <w:rsid w:val="00490aea"/>
    <w:pPr>
      <w:suppressAutoHyphens w:val="true"/>
      <w:spacing w:lineRule="atLeast" w:line="360" w:before="0" w:after="0"/>
      <w:ind w:right="567" w:hanging="0"/>
      <w:textAlignment w:val="center"/>
    </w:pPr>
    <w:rPr>
      <w:rFonts w:ascii="Minion Pro" w:hAnsi="Minion Pro" w:cs="Minion Pro"/>
      <w:color w:val="000000"/>
      <w:spacing w:val="0"/>
      <w:sz w:val="32"/>
      <w:szCs w:val="32"/>
    </w:rPr>
  </w:style>
  <w:style w:type="paragraph" w:styleId="17TABLtxt" w:customStyle="1">
    <w:name w:val="17TABL-txt"/>
    <w:basedOn w:val="Normal"/>
    <w:uiPriority w:val="99"/>
    <w:qFormat/>
    <w:rsid w:val="00490aea"/>
    <w:pPr>
      <w:spacing w:lineRule="atLeast" w:line="220" w:before="57" w:after="0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06SHEMAtxt" w:customStyle="1">
    <w:name w:val="06SHEMA-txt"/>
    <w:basedOn w:val="Normal"/>
    <w:uiPriority w:val="99"/>
    <w:qFormat/>
    <w:rsid w:val="00490aea"/>
    <w:pPr>
      <w:spacing w:lineRule="atLeast" w:line="180" w:before="0" w:after="0"/>
      <w:ind w:firstLine="255"/>
      <w:textAlignment w:val="center"/>
    </w:pPr>
    <w:rPr>
      <w:rFonts w:ascii="Montserrat" w:hAnsi="Montserrat" w:cs="Montserrat"/>
      <w:color w:val="000000"/>
      <w:sz w:val="15"/>
      <w:szCs w:val="15"/>
    </w:rPr>
  </w:style>
  <w:style w:type="paragraph" w:styleId="17TABLhroom" w:customStyle="1">
    <w:name w:val="17TABL-hroom"/>
    <w:basedOn w:val="Normal"/>
    <w:uiPriority w:val="99"/>
    <w:qFormat/>
    <w:rsid w:val="00490aea"/>
    <w:pPr>
      <w:spacing w:lineRule="atLeast" w:line="220" w:before="0" w:after="0"/>
      <w:textAlignment w:val="center"/>
    </w:pPr>
    <w:rPr>
      <w:rFonts w:ascii="Minion Pro" w:hAnsi="Minion Pro" w:cs="Minion Pro"/>
      <w:b/>
      <w:bCs/>
      <w:color w:val="000000"/>
      <w:sz w:val="20"/>
      <w:szCs w:val="20"/>
    </w:rPr>
  </w:style>
  <w:style w:type="paragraph" w:styleId="Style21" w:customStyle="1">
    <w:name w:val="[Без стиля]"/>
    <w:qFormat/>
    <w:rsid w:val="00490aea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Calibri"/>
      <w:color w:val="000000"/>
      <w:sz w:val="24"/>
      <w:szCs w:val="24"/>
      <w:lang w:val="ru-RU" w:eastAsia="en-US" w:bidi="ar-SA"/>
    </w:rPr>
  </w:style>
  <w:style w:type="paragraph" w:styleId="Style22" w:customStyle="1">
    <w:name w:val="Текст"/>
    <w:basedOn w:val="Normal"/>
    <w:qFormat/>
    <w:rsid w:val="00490aea"/>
    <w:pPr>
      <w:widowControl w:val="false"/>
      <w:suppressAutoHyphens w:val="true"/>
      <w:spacing w:lineRule="atLeast" w:line="280" w:before="0" w:after="0"/>
      <w:ind w:firstLine="283"/>
      <w:jc w:val="both"/>
      <w:textAlignment w:val="center"/>
    </w:pPr>
    <w:rPr>
      <w:rFonts w:ascii="TimesNRCyrMT" w:hAnsi="TimesNRCyrMT" w:eastAsia="Times New Roman" w:cs="TimesNRCyrMT"/>
      <w:color w:val="000000"/>
      <w:sz w:val="24"/>
      <w:szCs w:val="24"/>
      <w:lang w:eastAsia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E0A5-96FA-428E-858E-F3459599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LibreOffice/5.0.4.2$Windows_X86_64 LibreOffice_project/2b9802c1994aa0b7dc6079e128979269cf95bc78</Application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2021-09-06T06:21:00Z</dcterms:created>
  <dc:creator>User</dc:creator>
  <dc:language>ru-RU</dc:language>
  <dcterms:modified xsi:type="dcterms:W3CDTF">2022-04-20T12:21:39Z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